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A9" w:rsidRDefault="00C47BA9" w:rsidP="00C47BA9">
      <w:pPr>
        <w:jc w:val="right"/>
        <w:rPr>
          <w:rFonts w:ascii="Times New Roman" w:eastAsia="新細明體" w:hAnsi="Times New Roman"/>
          <w:b/>
          <w:color w:val="333333"/>
          <w:sz w:val="26"/>
          <w:szCs w:val="26"/>
          <w:shd w:val="clear" w:color="auto" w:fill="FDFDFD"/>
          <w:lang w:eastAsia="zh-TW"/>
        </w:rPr>
      </w:pPr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附件一</w:t>
      </w:r>
    </w:p>
    <w:p w:rsidR="00C47BA9" w:rsidRDefault="00C47BA9" w:rsidP="00C47BA9">
      <w:pPr>
        <w:jc w:val="right"/>
        <w:rPr>
          <w:rFonts w:ascii="Times New Roman" w:eastAsia="新細明體" w:hAnsi="Times New Roman"/>
          <w:b/>
          <w:color w:val="333333"/>
          <w:sz w:val="26"/>
          <w:szCs w:val="26"/>
          <w:shd w:val="clear" w:color="auto" w:fill="FDFDFD"/>
          <w:lang w:eastAsia="zh-TW"/>
        </w:rPr>
      </w:pPr>
    </w:p>
    <w:p w:rsidR="00C47BA9" w:rsidRDefault="00C47BA9" w:rsidP="00C47BA9">
      <w:pPr>
        <w:jc w:val="center"/>
        <w:rPr>
          <w:rFonts w:ascii="Times New Roman" w:eastAsia="新細明體" w:hAnsi="Times New Roman"/>
          <w:b/>
          <w:color w:val="333333"/>
          <w:sz w:val="26"/>
          <w:szCs w:val="26"/>
          <w:shd w:val="clear" w:color="auto" w:fill="FDFDFD"/>
          <w:lang w:eastAsia="zh-TW"/>
        </w:rPr>
      </w:pPr>
      <w:r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立</w:t>
      </w:r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法會議員議案</w:t>
      </w:r>
    </w:p>
    <w:p w:rsidR="00C47BA9" w:rsidRDefault="00C47BA9" w:rsidP="00C47BA9">
      <w:pPr>
        <w:jc w:val="center"/>
        <w:rPr>
          <w:rFonts w:ascii="Times New Roman" w:eastAsia="新細明體" w:hAnsi="Times New Roman"/>
          <w:b/>
          <w:color w:val="333333"/>
          <w:sz w:val="26"/>
          <w:szCs w:val="26"/>
          <w:shd w:val="clear" w:color="auto" w:fill="FDFDFD"/>
          <w:lang w:eastAsia="zh-TW"/>
        </w:rPr>
      </w:pPr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研究訂立</w:t>
      </w:r>
      <w:proofErr w:type="gramStart"/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規管分間</w:t>
      </w:r>
      <w:proofErr w:type="gramEnd"/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樓宇單位的條例</w:t>
      </w:r>
    </w:p>
    <w:p w:rsidR="00C47BA9" w:rsidRDefault="00C47BA9" w:rsidP="00C47BA9">
      <w:pPr>
        <w:jc w:val="center"/>
        <w:rPr>
          <w:rFonts w:ascii="Times New Roman" w:eastAsia="新細明體" w:hAnsi="Times New Roman"/>
          <w:b/>
          <w:color w:val="333333"/>
          <w:sz w:val="26"/>
          <w:szCs w:val="26"/>
          <w:shd w:val="clear" w:color="auto" w:fill="FDFDFD"/>
          <w:lang w:eastAsia="zh-TW"/>
        </w:rPr>
      </w:pPr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新</w:t>
      </w:r>
      <w:r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民黨主席</w:t>
      </w:r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葉劉淑儀的發言</w:t>
      </w:r>
    </w:p>
    <w:p w:rsidR="00C47BA9" w:rsidRPr="00C47BA9" w:rsidRDefault="00C47BA9" w:rsidP="00C47BA9">
      <w:pPr>
        <w:jc w:val="center"/>
        <w:rPr>
          <w:rFonts w:ascii="Times New Roman" w:eastAsiaTheme="minorEastAsia" w:hAnsi="Times New Roman"/>
          <w:b/>
          <w:color w:val="333333"/>
          <w:sz w:val="26"/>
          <w:szCs w:val="26"/>
          <w:shd w:val="clear" w:color="auto" w:fill="FDFDFD"/>
          <w:lang w:eastAsia="zh-TW"/>
        </w:rPr>
      </w:pPr>
      <w:r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2018</w:t>
      </w:r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年</w:t>
      </w:r>
      <w:r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11</w:t>
      </w:r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月</w:t>
      </w:r>
      <w:r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28</w:t>
      </w:r>
      <w:r w:rsidRPr="00C47BA9">
        <w:rPr>
          <w:rFonts w:ascii="Times New Roman" w:eastAsia="新細明體" w:hAnsi="Times New Roman" w:hint="eastAsia"/>
          <w:b/>
          <w:color w:val="333333"/>
          <w:sz w:val="26"/>
          <w:szCs w:val="26"/>
          <w:shd w:val="clear" w:color="auto" w:fill="FDFDFD"/>
          <w:lang w:eastAsia="zh-TW"/>
        </w:rPr>
        <w:t>日</w:t>
      </w:r>
    </w:p>
    <w:p w:rsidR="00C47BA9" w:rsidRDefault="00C47BA9" w:rsidP="000B7344">
      <w:pPr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</w:pPr>
    </w:p>
    <w:p w:rsidR="005D63BA" w:rsidRPr="00C47BA9" w:rsidRDefault="00C47BA9" w:rsidP="000B7344">
      <w:pPr>
        <w:rPr>
          <w:rFonts w:ascii="Times New Roman" w:eastAsiaTheme="minorEastAsia" w:hAnsi="Times New Roman"/>
          <w:sz w:val="26"/>
          <w:szCs w:val="26"/>
        </w:rPr>
      </w:pP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主席，我跟你都是同一世代的人，相信你還記得我們小時候香港有很多木屋區，因為戰後有很多新來港人士，當時香港廉價房屋短缺，所以他們只能居住在木屋或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寮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屋。直至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1953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年，石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硤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尾大火後，政府才開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鈶興建廉租屋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。政府其後於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70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年代推出「十年建屋計劃」，遂大規模清拆木屋區和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寮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屋區，協助基層市民陸續「上樓」。但由於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建屋需時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，當時港府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為正輪候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「上樓」的市民設置「臨時房屋區」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(Temporary Housing Area)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，雖說是「臨時」，但也「臨時」了十多年。政府後來不斷發展新市鎮及造地建屋，好不容易將木屋區和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寮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屋區的居民遷到公屋單位，大大改善他們的生活環境。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可惜，在過去十年，上兩屆政府造地、興建公屋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及居屋的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步伐近乎停頓，致使今天仍有大量市民在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輪候公屋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，甚至被迫住劏房。我手上的數字顯示，現時有超過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15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萬個家庭，及約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117,500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單身非長者人士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正輪候公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屋，輪候時間更長達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5.5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年，創近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19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年新高，而大部分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正輪候公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屋的申請者只能「蝸居」於劏房。根據統計處今年初公布的估算，全港有近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21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萬人居於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9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萬多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個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劏房單位內，當中近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3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成住客為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25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歲以下青年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 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，反映劏房問題非當嚴重。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本港劏房的租金高昂，全港關注劏房平台早前訪問了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685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戶劏房戶，發現劏房的平均每月租金為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4,506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元，而住戶的平均入息約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1.4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萬元，平均租金佔收</w:t>
      </w:r>
      <w:r w:rsidR="003D7AF6" w:rsidRPr="003D7AF6">
        <w:rPr>
          <w:rFonts w:ascii="Times New Roman" w:eastAsiaTheme="minorEastAsia" w:hAnsi="Times New Roman" w:hint="eastAsia"/>
          <w:color w:val="333333"/>
          <w:sz w:val="26"/>
          <w:szCs w:val="26"/>
          <w:shd w:val="clear" w:color="auto" w:fill="FDFDFD"/>
          <w:lang w:eastAsia="zh-TW"/>
        </w:rPr>
        <w:t>入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比率達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36.2%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。同時也有不少數據顯示，位處市區，位置較便利的劏房單位租金尤為驚人，例如一個位於西區僅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80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呎的劏房單位，月租就高達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8,000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元；位於觀塘區約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100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呎的劏房單位，月租同樣高達逾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6,000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元。鑑於劏房的租金回報率極為可觀，早前有發展公司將豪宅劏成約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530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個分間單位，我就此向</w:t>
      </w:r>
      <w:r w:rsidR="003D7AF6" w:rsidRPr="003D7AF6">
        <w:rPr>
          <w:rFonts w:ascii="Times New Roman" w:eastAsiaTheme="minorEastAsia" w:hAnsi="Times New Roman" w:hint="eastAsia"/>
          <w:color w:val="333333"/>
          <w:sz w:val="26"/>
          <w:szCs w:val="26"/>
          <w:shd w:val="clear" w:color="auto" w:fill="FDFDFD"/>
          <w:lang w:eastAsia="zh-TW"/>
        </w:rPr>
        <w:t>發展局</w:t>
      </w:r>
      <w:bookmarkStart w:id="0" w:name="_GoBack"/>
      <w:bookmarkEnd w:id="0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局長作出投訴，事後多個位於山頂、赤柱及壽臣山的「豪宅劏房」被地政總署「釘契」，我在此感謝局方的積極跟進。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劏房也造成其他衛生及火險問題。據稱，本港劏房住戶的人均居住面積僅為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49.6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呎，與一張兵乓球桌面積相若，其中不少劏房單位欠缺窗戶或通風系統，更有「上床下廁」式衛生環境惡劣的間隔。劏房住戶不但要面對租金高昂、被濫收水電費、租約欠保障等問題，致命的劏房悲劇更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lastRenderedPageBreak/>
        <w:t>頻生。我手上的資料顯示，去年發生了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9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宗劏房火警，其中有獨居人士在床上被燒死。今年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7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月，一對新婚夫婦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疑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因居住問題鬧不和，丈夫在深水埗汝州街一個劏房單位內上吊自殺。今年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8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月，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3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名年輕男女在葵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涌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一個用作工作室的劏房內以磷粉等工具玩魔術引致搶火，最終被燒死。今年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9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月，深水埗鴨寮街一個劏房單位疑因電線短路引起火警，十多名劏房住客需狼狽逃生。今年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10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月，深水埗大南街一名劏房老翁疑因居住環境太擠迫，先斬殺鄰居，再放火燒毀單位並跳樓自殺，實在非常可悲。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2016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年，我參選行政長官時曾在何喜華先生的帶領下多次探訪劏房戶，當時我感觸良多。我遂建議政府購入整棟空置、單一用途、業權統一的工廠大廈，再劏成分間單位，如當年的「臨時房屋區」般，用以安置正輪候公屋的市民，令他們毋須居於生活條件惡劣的劏房單位。我相信行政長官林鄭月娥也曾探訪劏房戶，故我很高興她在今年《施政報告》第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72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段中提出，「容許活化工廈可提供過渡性房屋，業主如利用已經或即將整幢改裝位於『商貿』、『商業』、『綜合發展區』及『住宅』地帶的工廈作非工業用途，並在改裝後將整幢或部分樓層用作過渡性房屋，政府會彈性處理規劃及樓宇設計等規定，並免收作過渡性房屋用途的地契豁免書費用」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我希望局長可以更詳盡交代此計劃的進展，陳帆局長早前向我表示，當局會利用政府的空置樓宇及由善心業主持有且不再用作工業用途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的廠廈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，經由一些非政府機構改裝後，再租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予正輪候公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屋或現居於劏房單位的人士。縱然政府有意帶頭改裝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工廈作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過渡性房屋，但這類過渡性房屋的數量始終有限，目前有近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21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萬人居於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9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萬多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個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劏房單位內，我相信劏房跟當年的「臨時房屋區」一樣，不可能在短期內消失，因此我認為政府仍有必要盡快研究立法規管現存劏房單位。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政府不論透過填海、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發展棕地或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農地等方式造地建屋均進度緩慢，故預料為數不少的市民未來仍有一段頗長的時間需被迫「蝸居」劏房單位，也會有越來越多業主看準劏房的高租金回報率，購入或改裝更多單位成劏房出租。我有一位律師朋友曾向我表示，她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早前購入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深水埗的舊樓單位，並將之改裝成居住環境不俗的劏房單位出租，租金回報率可高達雙位數字。她也向我表示，英國不少城市都有劏房問題，因為不少初抵英國的南亞裔人士都居於劏房單位。有見及此，港府應參考英國的做法，推行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務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管制。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有議員曾提出政府可按分區作租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務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管制，但我認為這並不可行，我建議政府按樓宇分類推行租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務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管制，英國就是成功的例子。英國政府於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2004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年通過《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2004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年住宅法》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(Housing Act 2004)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，引進一個新的房屋類別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 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─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 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大型分租單位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(Houses in Multiple Occupation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HMO)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，即「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a house in 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lastRenderedPageBreak/>
        <w:t>multiple occupation as defined by sections 254 to 259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」，清晰界定哪類單位需受租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務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管制，並推出發牌制度，從而確保大型分租單位的安全、防火、衛生、採光標準符合規格。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局長，我希望你不要將租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務管制說成干預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自由市場，因為港府早年已推行過租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務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管制。香港有一條《業主與租客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(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綜合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)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條例》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(Landlord and Tenant (Consolidation) Ordinance)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，條例當年引進了幾種租金的概念，包括容許租金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 (permitted rent)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、市面租金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 (prevailing market rent)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、標準租金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 (standard rent)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，同時引入租約管制，例如訂明在若干情況下業主必須與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租客續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租，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以及租客如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遭剝削可入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稟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土地審裁處追討賠償等。若局長希望了解港府以往如何操作租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務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管制，可以參閱土地審裁處前主席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Gordon N. </w:t>
      </w:r>
      <w:proofErr w:type="spell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Cruden</w:t>
      </w:r>
      <w:proofErr w:type="spell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的著作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Land Compensation and Valuation Law in Hong Kong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因此，如果政府今天透過實施租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務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管制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規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管劏房單位的租金加幅，並不是干預市場，而是功德無量。新加坡政府亦已搶先一步，早於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2012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年已出招打擊「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鞋盒屋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 xml:space="preserve"> (shoe-box housing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」，即面積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500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呎以下的單位，今年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10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月更公布新指引，規定發展商不可在中央區外興建平均面積少於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915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呎的私人樓宇單位。新加坡政府愛護市民，以及關心、重視市民住屋環境的程度可見一斑。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所以，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運房局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及發展局局長，只要你們願意，當局絕對可以立法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規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管劏房單位。與此同時，我希望政府能盡快交代有關改建整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棟工廈作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過渡性房屋計劃的進展、可提供單位數量的估算、參與的非政府組織名單及鼓勵業主</w:t>
      </w:r>
      <w:proofErr w:type="gram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改建工廈的</w:t>
      </w:r>
      <w:proofErr w:type="gram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  <w:lang w:eastAsia="zh-TW"/>
        </w:rPr>
        <w:t>誘因等。</w:t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r w:rsidRPr="00C47BA9">
        <w:rPr>
          <w:rFonts w:ascii="Times New Roman" w:eastAsiaTheme="minorEastAsia" w:hAnsi="Times New Roman"/>
          <w:color w:val="333333"/>
          <w:sz w:val="26"/>
          <w:szCs w:val="26"/>
          <w:lang w:eastAsia="zh-TW"/>
        </w:rPr>
        <w:br/>
      </w:r>
      <w:proofErr w:type="spellStart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</w:rPr>
        <w:t>主席，我動議我名下的議案</w:t>
      </w:r>
      <w:proofErr w:type="spellEnd"/>
      <w:r w:rsidRPr="00C47BA9">
        <w:rPr>
          <w:rFonts w:ascii="Times New Roman" w:eastAsiaTheme="minorEastAsia" w:hAnsi="Times New Roman"/>
          <w:color w:val="333333"/>
          <w:sz w:val="26"/>
          <w:szCs w:val="26"/>
          <w:shd w:val="clear" w:color="auto" w:fill="FDFDFD"/>
        </w:rPr>
        <w:t>。</w:t>
      </w:r>
    </w:p>
    <w:sectPr w:rsidR="005D63BA" w:rsidRPr="00C47BA9" w:rsidSect="007122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872" w:right="1800" w:bottom="1440" w:left="1800" w:header="113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82" w:rsidRDefault="00F70F82" w:rsidP="00147822">
      <w:r>
        <w:separator/>
      </w:r>
    </w:p>
  </w:endnote>
  <w:endnote w:type="continuationSeparator" w:id="0">
    <w:p w:rsidR="00F70F82" w:rsidRDefault="00F70F82" w:rsidP="0014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Default="00610DDA" w:rsidP="00147822">
    <w:pPr>
      <w:pStyle w:val="a5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Pr="00BD50F6" w:rsidRDefault="00381FCE" w:rsidP="00443B4F">
    <w:pPr>
      <w:pStyle w:val="a5"/>
      <w:jc w:val="center"/>
      <w:rPr>
        <w:rFonts w:ascii="Times New Roman" w:hAnsi="Times New Roman"/>
        <w:sz w:val="18"/>
        <w:szCs w:val="18"/>
        <w:lang w:eastAsia="zh-TW"/>
      </w:rPr>
    </w:pPr>
    <w:r>
      <w:rPr>
        <w:noProof/>
        <w:sz w:val="16"/>
        <w:szCs w:val="16"/>
        <w:lang w:eastAsia="zh-TW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12065</wp:posOffset>
          </wp:positionV>
          <wp:extent cx="6106795" cy="571500"/>
          <wp:effectExtent l="0" t="0" r="8255" b="0"/>
          <wp:wrapNone/>
          <wp:docPr id="10" name="圖片 10" descr="LetterHea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etterHea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DDA" w:rsidRPr="00BD50F6">
      <w:rPr>
        <w:rStyle w:val="a9"/>
        <w:sz w:val="18"/>
        <w:szCs w:val="18"/>
      </w:rPr>
      <w:fldChar w:fldCharType="begin"/>
    </w:r>
    <w:r w:rsidR="00610DDA" w:rsidRPr="00BD50F6">
      <w:rPr>
        <w:rStyle w:val="a9"/>
        <w:sz w:val="18"/>
        <w:szCs w:val="18"/>
      </w:rPr>
      <w:instrText xml:space="preserve"> PAGE </w:instrText>
    </w:r>
    <w:r w:rsidR="00610DDA" w:rsidRPr="00BD50F6">
      <w:rPr>
        <w:rStyle w:val="a9"/>
        <w:sz w:val="18"/>
        <w:szCs w:val="18"/>
      </w:rPr>
      <w:fldChar w:fldCharType="separate"/>
    </w:r>
    <w:r w:rsidR="003D7AF6">
      <w:rPr>
        <w:rStyle w:val="a9"/>
        <w:noProof/>
        <w:sz w:val="18"/>
        <w:szCs w:val="18"/>
      </w:rPr>
      <w:t>3</w:t>
    </w:r>
    <w:r w:rsidR="00610DDA" w:rsidRPr="00BD50F6">
      <w:rPr>
        <w:rStyle w:val="a9"/>
        <w:sz w:val="18"/>
        <w:szCs w:val="18"/>
      </w:rPr>
      <w:fldChar w:fldCharType="end"/>
    </w:r>
  </w:p>
  <w:p w:rsidR="00610DDA" w:rsidRDefault="00610DDA" w:rsidP="00443B4F">
    <w:pPr>
      <w:pStyle w:val="a5"/>
      <w:jc w:val="center"/>
      <w:rPr>
        <w:rFonts w:ascii="Times New Roman" w:hAnsi="Times New Roman"/>
        <w:sz w:val="16"/>
        <w:szCs w:val="16"/>
        <w:lang w:eastAsia="zh-TW"/>
      </w:rPr>
    </w:pPr>
  </w:p>
  <w:p w:rsidR="00610DDA" w:rsidRPr="00443B4F" w:rsidRDefault="00610DDA" w:rsidP="00443B4F">
    <w:pPr>
      <w:pStyle w:val="a5"/>
      <w:jc w:val="center"/>
      <w:rPr>
        <w:rFonts w:ascii="Times New Roman" w:hAnsi="Times New Roman"/>
        <w:sz w:val="18"/>
        <w:szCs w:val="18"/>
        <w:lang w:eastAsia="zh-TW"/>
      </w:rPr>
    </w:pPr>
    <w:r w:rsidRPr="00040A31">
      <w:rPr>
        <w:rFonts w:ascii="Times New Roman" w:hAnsi="Times New Roman"/>
        <w:sz w:val="16"/>
        <w:szCs w:val="16"/>
        <w:lang w:eastAsia="zh-TW"/>
      </w:rPr>
      <w:t>Flat</w:t>
    </w:r>
    <w:r>
      <w:rPr>
        <w:rFonts w:ascii="Times New Roman" w:hAnsi="Times New Roman"/>
        <w:sz w:val="16"/>
        <w:szCs w:val="16"/>
        <w:lang w:eastAsia="zh-TW"/>
      </w:rPr>
      <w:t>s</w:t>
    </w:r>
    <w:r w:rsidRPr="00040A31">
      <w:rPr>
        <w:rFonts w:ascii="Times New Roman" w:hAnsi="Times New Roman"/>
        <w:sz w:val="16"/>
        <w:szCs w:val="16"/>
        <w:lang w:eastAsia="zh-TW"/>
      </w:rPr>
      <w:t xml:space="preserve"> </w:t>
    </w:r>
    <w:r w:rsidR="00D134F0">
      <w:rPr>
        <w:rFonts w:ascii="Times New Roman" w:hAnsi="Times New Roman" w:hint="eastAsia"/>
        <w:sz w:val="16"/>
        <w:szCs w:val="16"/>
        <w:lang w:eastAsia="zh-TW"/>
      </w:rPr>
      <w:t>D-F</w:t>
    </w:r>
    <w:r w:rsidRPr="00040A31">
      <w:rPr>
        <w:rFonts w:ascii="Times New Roman" w:hAnsi="Times New Roman"/>
        <w:sz w:val="16"/>
        <w:szCs w:val="16"/>
        <w:lang w:eastAsia="zh-TW"/>
      </w:rPr>
      <w:t xml:space="preserve">, </w:t>
    </w:r>
    <w:r w:rsidR="00D134F0">
      <w:rPr>
        <w:rFonts w:ascii="Times New Roman" w:hAnsi="Times New Roman" w:hint="eastAsia"/>
        <w:sz w:val="16"/>
        <w:szCs w:val="16"/>
        <w:lang w:eastAsia="zh-TW"/>
      </w:rPr>
      <w:t>11/</w:t>
    </w:r>
    <w:r>
      <w:rPr>
        <w:rFonts w:ascii="Times New Roman" w:hAnsi="Times New Roman"/>
        <w:sz w:val="16"/>
        <w:szCs w:val="16"/>
        <w:lang w:eastAsia="zh-TW"/>
      </w:rPr>
      <w:t xml:space="preserve">F, </w:t>
    </w:r>
    <w:r w:rsidRPr="00040A31">
      <w:rPr>
        <w:rFonts w:ascii="Times New Roman" w:hAnsi="Times New Roman"/>
        <w:sz w:val="16"/>
        <w:szCs w:val="16"/>
        <w:lang w:eastAsia="zh-TW"/>
      </w:rPr>
      <w:t xml:space="preserve">China Overseas Building, 139 Hennessy Road, </w:t>
    </w:r>
    <w:proofErr w:type="spellStart"/>
    <w:r w:rsidRPr="00040A31">
      <w:rPr>
        <w:rFonts w:ascii="Times New Roman" w:hAnsi="Times New Roman"/>
        <w:sz w:val="16"/>
        <w:szCs w:val="16"/>
        <w:lang w:eastAsia="zh-TW"/>
      </w:rPr>
      <w:t>Wanchai</w:t>
    </w:r>
    <w:proofErr w:type="spellEnd"/>
    <w:r w:rsidRPr="00040A31">
      <w:rPr>
        <w:rFonts w:ascii="Times New Roman" w:hAnsi="Times New Roman"/>
        <w:sz w:val="16"/>
        <w:szCs w:val="16"/>
        <w:lang w:eastAsia="zh-TW"/>
      </w:rPr>
      <w:t>, Hong Kong</w:t>
    </w:r>
  </w:p>
  <w:p w:rsidR="00610DDA" w:rsidRDefault="00610DDA" w:rsidP="00147822">
    <w:pPr>
      <w:pStyle w:val="a5"/>
      <w:jc w:val="center"/>
      <w:rPr>
        <w:rFonts w:ascii="新細明體" w:eastAsia="新細明體" w:hAnsi="新細明體" w:cs="新細明體"/>
        <w:sz w:val="16"/>
        <w:szCs w:val="16"/>
        <w:lang w:eastAsia="zh-TW"/>
      </w:rPr>
    </w:pP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香港灣仔軒尼詩道139號中國海外大廈</w:t>
    </w:r>
    <w:r w:rsidR="00C9334D">
      <w:rPr>
        <w:rFonts w:ascii="新細明體" w:eastAsia="新細明體" w:hAnsi="新細明體" w:cs="新細明體" w:hint="eastAsia"/>
        <w:sz w:val="16"/>
        <w:szCs w:val="16"/>
        <w:lang w:eastAsia="zh-TW"/>
      </w:rPr>
      <w:t>11</w:t>
    </w: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樓</w:t>
    </w:r>
    <w:r w:rsidR="00C9334D">
      <w:rPr>
        <w:rFonts w:ascii="新細明體" w:eastAsia="新細明體" w:hAnsi="新細明體" w:cs="新細明體" w:hint="eastAsia"/>
        <w:sz w:val="16"/>
        <w:szCs w:val="16"/>
        <w:lang w:eastAsia="zh-TW"/>
      </w:rPr>
      <w:t>D-F</w:t>
    </w: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室</w:t>
    </w:r>
  </w:p>
  <w:p w:rsidR="00610DDA" w:rsidRPr="00040A31" w:rsidRDefault="00610DDA" w:rsidP="00147822">
    <w:pPr>
      <w:pStyle w:val="a5"/>
      <w:jc w:val="center"/>
      <w:rPr>
        <w:rFonts w:ascii="新細明體" w:eastAsia="新細明體" w:hAnsi="新細明體" w:cs="新細明體"/>
        <w:sz w:val="16"/>
        <w:szCs w:val="16"/>
        <w:lang w:eastAsia="zh-TW"/>
      </w:rPr>
    </w:pPr>
    <w:r w:rsidRPr="00147822">
      <w:rPr>
        <w:rFonts w:ascii="Times New Roman" w:hAnsi="Times New Roman"/>
        <w:sz w:val="18"/>
        <w:szCs w:val="18"/>
        <w:lang w:eastAsia="zh-TW"/>
      </w:rPr>
      <w:t xml:space="preserve">Tel: </w:t>
    </w:r>
    <w:r>
      <w:rPr>
        <w:rFonts w:ascii="Times New Roman" w:hAnsi="Times New Roman"/>
        <w:sz w:val="18"/>
        <w:szCs w:val="18"/>
        <w:lang w:eastAsia="zh-TW"/>
      </w:rPr>
      <w:t xml:space="preserve">(852) 3100 0079             </w:t>
    </w:r>
    <w:r w:rsidRPr="00147822">
      <w:rPr>
        <w:rFonts w:ascii="Times New Roman" w:hAnsi="Times New Roman"/>
        <w:sz w:val="18"/>
        <w:szCs w:val="18"/>
        <w:lang w:eastAsia="zh-TW"/>
      </w:rPr>
      <w:t xml:space="preserve">Fax: (852) </w:t>
    </w:r>
    <w:r>
      <w:rPr>
        <w:rFonts w:ascii="Times New Roman" w:hAnsi="Times New Roman"/>
        <w:sz w:val="18"/>
        <w:szCs w:val="18"/>
        <w:lang w:eastAsia="zh-TW"/>
      </w:rPr>
      <w:t>3100 0087            Website: www.npp.org.hk</w:t>
    </w:r>
  </w:p>
  <w:p w:rsidR="00610DDA" w:rsidRPr="00147822" w:rsidRDefault="00610DDA" w:rsidP="00560BB7">
    <w:pPr>
      <w:pStyle w:val="a5"/>
      <w:jc w:val="center"/>
      <w:rPr>
        <w:rFonts w:ascii="Times New Roman" w:hAnsi="Times New Roman"/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Pr="00443B4F" w:rsidRDefault="00381FCE" w:rsidP="008625F9">
    <w:pPr>
      <w:pStyle w:val="a5"/>
      <w:jc w:val="center"/>
      <w:rPr>
        <w:rFonts w:ascii="Times New Roman" w:hAnsi="Times New Roman"/>
        <w:sz w:val="18"/>
        <w:szCs w:val="18"/>
        <w:lang w:eastAsia="zh-TW"/>
      </w:rPr>
    </w:pPr>
    <w:r>
      <w:rPr>
        <w:noProof/>
        <w:sz w:val="16"/>
        <w:szCs w:val="16"/>
        <w:lang w:eastAsia="zh-TW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-196850</wp:posOffset>
          </wp:positionV>
          <wp:extent cx="6106795" cy="571500"/>
          <wp:effectExtent l="0" t="0" r="8255" b="0"/>
          <wp:wrapNone/>
          <wp:docPr id="14" name="圖片 14" descr="LetterHead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etterHead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DDA" w:rsidRPr="00040A31">
      <w:rPr>
        <w:rFonts w:ascii="Times New Roman" w:hAnsi="Times New Roman"/>
        <w:sz w:val="16"/>
        <w:szCs w:val="16"/>
        <w:lang w:eastAsia="zh-TW"/>
      </w:rPr>
      <w:t>Flat</w:t>
    </w:r>
    <w:r w:rsidR="00610DDA">
      <w:rPr>
        <w:rFonts w:ascii="Times New Roman" w:hAnsi="Times New Roman"/>
        <w:sz w:val="16"/>
        <w:szCs w:val="16"/>
        <w:lang w:eastAsia="zh-TW"/>
      </w:rPr>
      <w:t>s</w:t>
    </w:r>
    <w:r w:rsidR="00610DDA" w:rsidRPr="00040A31">
      <w:rPr>
        <w:rFonts w:ascii="Times New Roman" w:hAnsi="Times New Roman"/>
        <w:sz w:val="16"/>
        <w:szCs w:val="16"/>
        <w:lang w:eastAsia="zh-TW"/>
      </w:rPr>
      <w:t xml:space="preserve"> </w:t>
    </w:r>
    <w:r w:rsidR="000367D7">
      <w:rPr>
        <w:rFonts w:ascii="Times New Roman" w:hAnsi="Times New Roman" w:hint="eastAsia"/>
        <w:sz w:val="16"/>
        <w:szCs w:val="16"/>
        <w:lang w:eastAsia="zh-TW"/>
      </w:rPr>
      <w:t>D-F</w:t>
    </w:r>
    <w:r w:rsidR="00610DDA" w:rsidRPr="00040A31">
      <w:rPr>
        <w:rFonts w:ascii="Times New Roman" w:hAnsi="Times New Roman"/>
        <w:sz w:val="16"/>
        <w:szCs w:val="16"/>
        <w:lang w:eastAsia="zh-TW"/>
      </w:rPr>
      <w:t xml:space="preserve">, </w:t>
    </w:r>
    <w:r w:rsidR="000367D7">
      <w:rPr>
        <w:rFonts w:ascii="Times New Roman" w:hAnsi="Times New Roman" w:hint="eastAsia"/>
        <w:sz w:val="16"/>
        <w:szCs w:val="16"/>
        <w:lang w:eastAsia="zh-TW"/>
      </w:rPr>
      <w:t>11</w:t>
    </w:r>
    <w:r w:rsidR="00610DDA">
      <w:rPr>
        <w:rFonts w:ascii="Times New Roman" w:hAnsi="Times New Roman"/>
        <w:sz w:val="16"/>
        <w:szCs w:val="16"/>
        <w:lang w:eastAsia="zh-TW"/>
      </w:rPr>
      <w:t xml:space="preserve">/F, </w:t>
    </w:r>
    <w:r w:rsidR="00610DDA" w:rsidRPr="00040A31">
      <w:rPr>
        <w:rFonts w:ascii="Times New Roman" w:hAnsi="Times New Roman"/>
        <w:sz w:val="16"/>
        <w:szCs w:val="16"/>
        <w:lang w:eastAsia="zh-TW"/>
      </w:rPr>
      <w:t xml:space="preserve">China Overseas Building, 139 Hennessy Road, </w:t>
    </w:r>
    <w:proofErr w:type="spellStart"/>
    <w:r w:rsidR="00610DDA" w:rsidRPr="00040A31">
      <w:rPr>
        <w:rFonts w:ascii="Times New Roman" w:hAnsi="Times New Roman"/>
        <w:sz w:val="16"/>
        <w:szCs w:val="16"/>
        <w:lang w:eastAsia="zh-TW"/>
      </w:rPr>
      <w:t>Wanchai</w:t>
    </w:r>
    <w:proofErr w:type="spellEnd"/>
    <w:r w:rsidR="00610DDA" w:rsidRPr="00040A31">
      <w:rPr>
        <w:rFonts w:ascii="Times New Roman" w:hAnsi="Times New Roman"/>
        <w:sz w:val="16"/>
        <w:szCs w:val="16"/>
        <w:lang w:eastAsia="zh-TW"/>
      </w:rPr>
      <w:t>, Hong Kong</w:t>
    </w:r>
  </w:p>
  <w:p w:rsidR="00610DDA" w:rsidRDefault="00610DDA" w:rsidP="008625F9">
    <w:pPr>
      <w:pStyle w:val="a5"/>
      <w:jc w:val="center"/>
      <w:rPr>
        <w:rFonts w:ascii="新細明體" w:eastAsia="新細明體" w:hAnsi="新細明體" w:cs="新細明體"/>
        <w:sz w:val="16"/>
        <w:szCs w:val="16"/>
        <w:lang w:eastAsia="zh-TW"/>
      </w:rPr>
    </w:pP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香港灣仔軒尼詩道139號中國海外大廈</w:t>
    </w:r>
    <w:r w:rsidR="000367D7">
      <w:rPr>
        <w:rFonts w:ascii="新細明體" w:eastAsia="新細明體" w:hAnsi="新細明體" w:cs="新細明體" w:hint="eastAsia"/>
        <w:sz w:val="16"/>
        <w:szCs w:val="16"/>
        <w:lang w:eastAsia="zh-TW"/>
      </w:rPr>
      <w:t>11</w:t>
    </w: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樓</w:t>
    </w:r>
    <w:r w:rsidR="000367D7">
      <w:rPr>
        <w:rFonts w:ascii="新細明體" w:eastAsia="新細明體" w:hAnsi="新細明體" w:cs="新細明體" w:hint="eastAsia"/>
        <w:sz w:val="16"/>
        <w:szCs w:val="16"/>
        <w:lang w:eastAsia="zh-TW"/>
      </w:rPr>
      <w:t>D-F</w:t>
    </w:r>
    <w:r w:rsidRPr="00040A31">
      <w:rPr>
        <w:rFonts w:ascii="新細明體" w:eastAsia="新細明體" w:hAnsi="新細明體" w:cs="新細明體" w:hint="eastAsia"/>
        <w:sz w:val="16"/>
        <w:szCs w:val="16"/>
        <w:lang w:eastAsia="zh-TW"/>
      </w:rPr>
      <w:t>室</w:t>
    </w:r>
  </w:p>
  <w:p w:rsidR="00610DDA" w:rsidRPr="00040A31" w:rsidRDefault="00610DDA" w:rsidP="006B56C6">
    <w:pPr>
      <w:pStyle w:val="a5"/>
      <w:jc w:val="center"/>
      <w:rPr>
        <w:rFonts w:ascii="新細明體" w:eastAsia="新細明體" w:hAnsi="新細明體" w:cs="新細明體"/>
        <w:sz w:val="16"/>
        <w:szCs w:val="16"/>
        <w:lang w:eastAsia="zh-TW"/>
      </w:rPr>
    </w:pPr>
    <w:r w:rsidRPr="00147822">
      <w:rPr>
        <w:rFonts w:ascii="Times New Roman" w:hAnsi="Times New Roman"/>
        <w:sz w:val="18"/>
        <w:szCs w:val="18"/>
        <w:lang w:eastAsia="zh-TW"/>
      </w:rPr>
      <w:t xml:space="preserve">Tel: </w:t>
    </w:r>
    <w:r>
      <w:rPr>
        <w:rFonts w:ascii="Times New Roman" w:hAnsi="Times New Roman"/>
        <w:sz w:val="18"/>
        <w:szCs w:val="18"/>
        <w:lang w:eastAsia="zh-TW"/>
      </w:rPr>
      <w:t xml:space="preserve">(852) 3100 0079             </w:t>
    </w:r>
    <w:r w:rsidRPr="00147822">
      <w:rPr>
        <w:rFonts w:ascii="Times New Roman" w:hAnsi="Times New Roman"/>
        <w:sz w:val="18"/>
        <w:szCs w:val="18"/>
        <w:lang w:eastAsia="zh-TW"/>
      </w:rPr>
      <w:t xml:space="preserve">Fax: (852) </w:t>
    </w:r>
    <w:r>
      <w:rPr>
        <w:rFonts w:ascii="Times New Roman" w:hAnsi="Times New Roman"/>
        <w:sz w:val="18"/>
        <w:szCs w:val="18"/>
        <w:lang w:eastAsia="zh-TW"/>
      </w:rPr>
      <w:t>3100 0087            Website: www.npp.org.hk</w:t>
    </w:r>
  </w:p>
  <w:p w:rsidR="00610DDA" w:rsidRDefault="00610D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82" w:rsidRDefault="00F70F82" w:rsidP="00147822">
      <w:r>
        <w:separator/>
      </w:r>
    </w:p>
  </w:footnote>
  <w:footnote w:type="continuationSeparator" w:id="0">
    <w:p w:rsidR="00F70F82" w:rsidRDefault="00F70F82" w:rsidP="0014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Default="00610DDA" w:rsidP="00147822">
    <w:pPr>
      <w:pStyle w:val="a3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:rsidR="00610DDA" w:rsidRDefault="00610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Default="00610DDA" w:rsidP="00147822">
    <w:pPr>
      <w:pStyle w:val="a3"/>
      <w:tabs>
        <w:tab w:val="clear" w:pos="4320"/>
        <w:tab w:val="clear" w:pos="8640"/>
        <w:tab w:val="center" w:pos="4150"/>
        <w:tab w:val="right" w:pos="8300"/>
      </w:tabs>
    </w:pPr>
    <w:r>
      <w:tab/>
    </w:r>
    <w:r>
      <w:tab/>
    </w:r>
  </w:p>
  <w:p w:rsidR="00610DDA" w:rsidRDefault="00610D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DDA" w:rsidRDefault="00381FCE">
    <w:pPr>
      <w:pStyle w:val="a3"/>
    </w:pPr>
    <w:r>
      <w:rPr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-720090</wp:posOffset>
          </wp:positionV>
          <wp:extent cx="7560310" cy="1221105"/>
          <wp:effectExtent l="0" t="0" r="2540" b="0"/>
          <wp:wrapThrough wrapText="bothSides">
            <wp:wrapPolygon edited="0">
              <wp:start x="0" y="0"/>
              <wp:lineTo x="0" y="21229"/>
              <wp:lineTo x="21553" y="21229"/>
              <wp:lineTo x="21553" y="0"/>
              <wp:lineTo x="0" y="0"/>
            </wp:wrapPolygon>
          </wp:wrapThrough>
          <wp:docPr id="13" name="圖片 13" descr="LetterHea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etterHead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7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76"/>
    <w:multiLevelType w:val="hybridMultilevel"/>
    <w:tmpl w:val="DABE5DD4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7A5AD1"/>
    <w:multiLevelType w:val="hybridMultilevel"/>
    <w:tmpl w:val="EC38D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E3A9B"/>
    <w:multiLevelType w:val="hybridMultilevel"/>
    <w:tmpl w:val="ED402D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F304476"/>
    <w:multiLevelType w:val="hybridMultilevel"/>
    <w:tmpl w:val="425AFFFC"/>
    <w:lvl w:ilvl="0" w:tplc="52DE8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FE7982"/>
    <w:multiLevelType w:val="hybridMultilevel"/>
    <w:tmpl w:val="9BBE6C8A"/>
    <w:lvl w:ilvl="0" w:tplc="F580D118">
      <w:start w:val="1"/>
      <w:numFmt w:val="lowerLetter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676CFB"/>
    <w:multiLevelType w:val="hybridMultilevel"/>
    <w:tmpl w:val="6B4A6A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D076F3"/>
    <w:multiLevelType w:val="hybridMultilevel"/>
    <w:tmpl w:val="B0D09FC8"/>
    <w:lvl w:ilvl="0" w:tplc="51E2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104452"/>
    <w:multiLevelType w:val="hybridMultilevel"/>
    <w:tmpl w:val="B8FC3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D2705C"/>
    <w:multiLevelType w:val="hybridMultilevel"/>
    <w:tmpl w:val="7326F6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DD5A9F"/>
    <w:multiLevelType w:val="hybridMultilevel"/>
    <w:tmpl w:val="54B4E9F2"/>
    <w:lvl w:ilvl="0" w:tplc="F580D118">
      <w:start w:val="1"/>
      <w:numFmt w:val="lowerLetter"/>
      <w:lvlText w:val="%1)"/>
      <w:lvlJc w:val="left"/>
      <w:pPr>
        <w:ind w:left="960" w:hanging="480"/>
      </w:pPr>
      <w:rPr>
        <w:rFonts w:hint="eastAsia"/>
      </w:rPr>
    </w:lvl>
    <w:lvl w:ilvl="1" w:tplc="F580D118">
      <w:start w:val="1"/>
      <w:numFmt w:val="lowerLetter"/>
      <w:lvlText w:val="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8542C9"/>
    <w:multiLevelType w:val="hybridMultilevel"/>
    <w:tmpl w:val="9E7EC0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B282D63"/>
    <w:multiLevelType w:val="hybridMultilevel"/>
    <w:tmpl w:val="710C3EA6"/>
    <w:lvl w:ilvl="0" w:tplc="63BEE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8EA6F5EA">
      <w:start w:val="1"/>
      <w:numFmt w:val="taiwaneseCountingThousand"/>
      <w:lvlText w:val="第%2，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F56EF8"/>
    <w:multiLevelType w:val="hybridMultilevel"/>
    <w:tmpl w:val="BDE0DC24"/>
    <w:lvl w:ilvl="0" w:tplc="64BE5C38">
      <w:start w:val="1"/>
      <w:numFmt w:val="lowerLetter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D9F2A99"/>
    <w:multiLevelType w:val="hybridMultilevel"/>
    <w:tmpl w:val="3B220488"/>
    <w:lvl w:ilvl="0" w:tplc="C8AE6564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22D04"/>
    <w:multiLevelType w:val="hybridMultilevel"/>
    <w:tmpl w:val="3A02C480"/>
    <w:lvl w:ilvl="0" w:tplc="52DE8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B327AD"/>
    <w:multiLevelType w:val="hybridMultilevel"/>
    <w:tmpl w:val="EC9498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B41D86"/>
    <w:multiLevelType w:val="hybridMultilevel"/>
    <w:tmpl w:val="553AE3F8"/>
    <w:lvl w:ilvl="0" w:tplc="B1267F34">
      <w:start w:val="1"/>
      <w:numFmt w:val="lowerLetter"/>
      <w:lvlText w:val="%1) 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B012A1F"/>
    <w:multiLevelType w:val="hybridMultilevel"/>
    <w:tmpl w:val="EE721556"/>
    <w:lvl w:ilvl="0" w:tplc="63BEE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D7426C9"/>
    <w:multiLevelType w:val="hybridMultilevel"/>
    <w:tmpl w:val="4A98425E"/>
    <w:lvl w:ilvl="0" w:tplc="64BE5C38">
      <w:start w:val="1"/>
      <w:numFmt w:val="lowerLetter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FF4077"/>
    <w:multiLevelType w:val="hybridMultilevel"/>
    <w:tmpl w:val="9E304404"/>
    <w:lvl w:ilvl="0" w:tplc="F580D118">
      <w:start w:val="1"/>
      <w:numFmt w:val="lowerLetter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9600068"/>
    <w:multiLevelType w:val="hybridMultilevel"/>
    <w:tmpl w:val="91A4D81C"/>
    <w:lvl w:ilvl="0" w:tplc="C21EA7B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2360735"/>
    <w:multiLevelType w:val="hybridMultilevel"/>
    <w:tmpl w:val="65980D12"/>
    <w:lvl w:ilvl="0" w:tplc="2618F2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3109C9"/>
    <w:multiLevelType w:val="hybridMultilevel"/>
    <w:tmpl w:val="D1F41992"/>
    <w:lvl w:ilvl="0" w:tplc="52DE8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C4740E"/>
    <w:multiLevelType w:val="hybridMultilevel"/>
    <w:tmpl w:val="40BCD214"/>
    <w:lvl w:ilvl="0" w:tplc="53A65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A3F5361"/>
    <w:multiLevelType w:val="hybridMultilevel"/>
    <w:tmpl w:val="0E02B816"/>
    <w:lvl w:ilvl="0" w:tplc="1A0803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75C56136"/>
    <w:multiLevelType w:val="hybridMultilevel"/>
    <w:tmpl w:val="215047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81B0620"/>
    <w:multiLevelType w:val="hybridMultilevel"/>
    <w:tmpl w:val="13D8A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3851C1"/>
    <w:multiLevelType w:val="hybridMultilevel"/>
    <w:tmpl w:val="59EACA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4B39B0"/>
    <w:multiLevelType w:val="hybridMultilevel"/>
    <w:tmpl w:val="7CB6CA02"/>
    <w:lvl w:ilvl="0" w:tplc="63BEE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2"/>
  </w:num>
  <w:num w:numId="5">
    <w:abstractNumId w:val="27"/>
  </w:num>
  <w:num w:numId="6">
    <w:abstractNumId w:val="19"/>
  </w:num>
  <w:num w:numId="7">
    <w:abstractNumId w:val="11"/>
  </w:num>
  <w:num w:numId="8">
    <w:abstractNumId w:val="9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7"/>
  </w:num>
  <w:num w:numId="14">
    <w:abstractNumId w:val="16"/>
  </w:num>
  <w:num w:numId="15">
    <w:abstractNumId w:val="21"/>
  </w:num>
  <w:num w:numId="16">
    <w:abstractNumId w:val="22"/>
  </w:num>
  <w:num w:numId="17">
    <w:abstractNumId w:val="3"/>
  </w:num>
  <w:num w:numId="18">
    <w:abstractNumId w:val="14"/>
  </w:num>
  <w:num w:numId="19">
    <w:abstractNumId w:val="24"/>
  </w:num>
  <w:num w:numId="20">
    <w:abstractNumId w:val="26"/>
  </w:num>
  <w:num w:numId="21">
    <w:abstractNumId w:val="20"/>
  </w:num>
  <w:num w:numId="22">
    <w:abstractNumId w:val="5"/>
  </w:num>
  <w:num w:numId="23">
    <w:abstractNumId w:val="8"/>
  </w:num>
  <w:num w:numId="24">
    <w:abstractNumId w:val="25"/>
  </w:num>
  <w:num w:numId="25">
    <w:abstractNumId w:val="10"/>
  </w:num>
  <w:num w:numId="26">
    <w:abstractNumId w:val="13"/>
  </w:num>
  <w:num w:numId="27">
    <w:abstractNumId w:val="2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22"/>
    <w:rsid w:val="000039F5"/>
    <w:rsid w:val="0001488B"/>
    <w:rsid w:val="00025B99"/>
    <w:rsid w:val="00026B36"/>
    <w:rsid w:val="00032AF8"/>
    <w:rsid w:val="000367D7"/>
    <w:rsid w:val="00037A27"/>
    <w:rsid w:val="00040A31"/>
    <w:rsid w:val="00063F85"/>
    <w:rsid w:val="00091C48"/>
    <w:rsid w:val="000B7344"/>
    <w:rsid w:val="000C3718"/>
    <w:rsid w:val="000D48FD"/>
    <w:rsid w:val="000F5670"/>
    <w:rsid w:val="00102A7B"/>
    <w:rsid w:val="001115A9"/>
    <w:rsid w:val="00120D8D"/>
    <w:rsid w:val="001303A3"/>
    <w:rsid w:val="001470A9"/>
    <w:rsid w:val="00147822"/>
    <w:rsid w:val="00151113"/>
    <w:rsid w:val="0016566E"/>
    <w:rsid w:val="001921A5"/>
    <w:rsid w:val="001D5179"/>
    <w:rsid w:val="001E165F"/>
    <w:rsid w:val="001E34B7"/>
    <w:rsid w:val="001E563D"/>
    <w:rsid w:val="001F479A"/>
    <w:rsid w:val="0020205F"/>
    <w:rsid w:val="0022302F"/>
    <w:rsid w:val="002271CF"/>
    <w:rsid w:val="002369A2"/>
    <w:rsid w:val="0025042A"/>
    <w:rsid w:val="0026300E"/>
    <w:rsid w:val="002727C1"/>
    <w:rsid w:val="0028300A"/>
    <w:rsid w:val="00292CFB"/>
    <w:rsid w:val="00296471"/>
    <w:rsid w:val="002A5B04"/>
    <w:rsid w:val="002C0993"/>
    <w:rsid w:val="002F576D"/>
    <w:rsid w:val="00303723"/>
    <w:rsid w:val="00334C8C"/>
    <w:rsid w:val="00352165"/>
    <w:rsid w:val="003664D6"/>
    <w:rsid w:val="00381FCE"/>
    <w:rsid w:val="003A2A9F"/>
    <w:rsid w:val="003B164F"/>
    <w:rsid w:val="003B48FE"/>
    <w:rsid w:val="003C5EB3"/>
    <w:rsid w:val="003D0109"/>
    <w:rsid w:val="003D7AF6"/>
    <w:rsid w:val="004015F5"/>
    <w:rsid w:val="00435C3D"/>
    <w:rsid w:val="004409CB"/>
    <w:rsid w:val="00443B4F"/>
    <w:rsid w:val="00472F1D"/>
    <w:rsid w:val="00484904"/>
    <w:rsid w:val="004C4BC7"/>
    <w:rsid w:val="004C7A0D"/>
    <w:rsid w:val="004E0E11"/>
    <w:rsid w:val="004E1394"/>
    <w:rsid w:val="004F4AA9"/>
    <w:rsid w:val="00503132"/>
    <w:rsid w:val="00512A1B"/>
    <w:rsid w:val="0051702D"/>
    <w:rsid w:val="005344FC"/>
    <w:rsid w:val="00542921"/>
    <w:rsid w:val="00551742"/>
    <w:rsid w:val="00554746"/>
    <w:rsid w:val="00557BE7"/>
    <w:rsid w:val="00560BB7"/>
    <w:rsid w:val="00585987"/>
    <w:rsid w:val="00593D30"/>
    <w:rsid w:val="00597A66"/>
    <w:rsid w:val="005B1EDB"/>
    <w:rsid w:val="005B642A"/>
    <w:rsid w:val="005D0A8E"/>
    <w:rsid w:val="005D63BA"/>
    <w:rsid w:val="005F008F"/>
    <w:rsid w:val="00603798"/>
    <w:rsid w:val="00610DDA"/>
    <w:rsid w:val="006141CD"/>
    <w:rsid w:val="00616FDE"/>
    <w:rsid w:val="00621B5A"/>
    <w:rsid w:val="00623D6C"/>
    <w:rsid w:val="00633FA8"/>
    <w:rsid w:val="00637D2D"/>
    <w:rsid w:val="00663EE2"/>
    <w:rsid w:val="006701AC"/>
    <w:rsid w:val="00690E26"/>
    <w:rsid w:val="006A4201"/>
    <w:rsid w:val="006B56C6"/>
    <w:rsid w:val="006E5D34"/>
    <w:rsid w:val="007122C2"/>
    <w:rsid w:val="00730F39"/>
    <w:rsid w:val="00745B4B"/>
    <w:rsid w:val="00747C78"/>
    <w:rsid w:val="007A64FF"/>
    <w:rsid w:val="007B61A1"/>
    <w:rsid w:val="007C3723"/>
    <w:rsid w:val="007D3437"/>
    <w:rsid w:val="007E0404"/>
    <w:rsid w:val="007E5C35"/>
    <w:rsid w:val="00831AF9"/>
    <w:rsid w:val="0084317D"/>
    <w:rsid w:val="008433A0"/>
    <w:rsid w:val="00847819"/>
    <w:rsid w:val="00860127"/>
    <w:rsid w:val="008625F9"/>
    <w:rsid w:val="00880C87"/>
    <w:rsid w:val="00885911"/>
    <w:rsid w:val="008871F0"/>
    <w:rsid w:val="008A7DF9"/>
    <w:rsid w:val="008B1F46"/>
    <w:rsid w:val="008C6284"/>
    <w:rsid w:val="009039BD"/>
    <w:rsid w:val="009164A8"/>
    <w:rsid w:val="009328B6"/>
    <w:rsid w:val="009430E0"/>
    <w:rsid w:val="009539E1"/>
    <w:rsid w:val="009623F8"/>
    <w:rsid w:val="00976A97"/>
    <w:rsid w:val="00991B79"/>
    <w:rsid w:val="009C1E18"/>
    <w:rsid w:val="009D663C"/>
    <w:rsid w:val="009E479F"/>
    <w:rsid w:val="00A02483"/>
    <w:rsid w:val="00A10707"/>
    <w:rsid w:val="00A13E5B"/>
    <w:rsid w:val="00A23314"/>
    <w:rsid w:val="00A51C48"/>
    <w:rsid w:val="00AA77F0"/>
    <w:rsid w:val="00AB2819"/>
    <w:rsid w:val="00AB58E4"/>
    <w:rsid w:val="00AF6FBC"/>
    <w:rsid w:val="00B03594"/>
    <w:rsid w:val="00B41CF6"/>
    <w:rsid w:val="00B42910"/>
    <w:rsid w:val="00B47E14"/>
    <w:rsid w:val="00B5592E"/>
    <w:rsid w:val="00B65CBA"/>
    <w:rsid w:val="00B8358F"/>
    <w:rsid w:val="00B96FA3"/>
    <w:rsid w:val="00BB5030"/>
    <w:rsid w:val="00BC0261"/>
    <w:rsid w:val="00BD50F6"/>
    <w:rsid w:val="00C0788C"/>
    <w:rsid w:val="00C47BA9"/>
    <w:rsid w:val="00C529E2"/>
    <w:rsid w:val="00C74AFE"/>
    <w:rsid w:val="00C83338"/>
    <w:rsid w:val="00C9334D"/>
    <w:rsid w:val="00C94729"/>
    <w:rsid w:val="00CA3CE3"/>
    <w:rsid w:val="00CF38A1"/>
    <w:rsid w:val="00D134F0"/>
    <w:rsid w:val="00D400E3"/>
    <w:rsid w:val="00D53312"/>
    <w:rsid w:val="00D660F4"/>
    <w:rsid w:val="00D6632B"/>
    <w:rsid w:val="00D879FA"/>
    <w:rsid w:val="00DB4680"/>
    <w:rsid w:val="00DE7C02"/>
    <w:rsid w:val="00DF5D73"/>
    <w:rsid w:val="00E14EB1"/>
    <w:rsid w:val="00E400FD"/>
    <w:rsid w:val="00E71FFF"/>
    <w:rsid w:val="00EB04E5"/>
    <w:rsid w:val="00EB3400"/>
    <w:rsid w:val="00EC26AE"/>
    <w:rsid w:val="00EE31BF"/>
    <w:rsid w:val="00EE3889"/>
    <w:rsid w:val="00F01979"/>
    <w:rsid w:val="00F107E2"/>
    <w:rsid w:val="00F42610"/>
    <w:rsid w:val="00F46104"/>
    <w:rsid w:val="00F506D2"/>
    <w:rsid w:val="00F56346"/>
    <w:rsid w:val="00F70F82"/>
    <w:rsid w:val="00FA0BDB"/>
    <w:rsid w:val="00FC6FFF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22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47822"/>
  </w:style>
  <w:style w:type="paragraph" w:styleId="a5">
    <w:name w:val="footer"/>
    <w:basedOn w:val="a"/>
    <w:link w:val="a6"/>
    <w:uiPriority w:val="99"/>
    <w:unhideWhenUsed/>
    <w:rsid w:val="00147822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47822"/>
  </w:style>
  <w:style w:type="paragraph" w:styleId="a7">
    <w:name w:val="Balloon Text"/>
    <w:basedOn w:val="a"/>
    <w:link w:val="a8"/>
    <w:uiPriority w:val="99"/>
    <w:semiHidden/>
    <w:unhideWhenUsed/>
    <w:rsid w:val="00147822"/>
    <w:rPr>
      <w:rFonts w:ascii="Lucida Grande" w:hAnsi="Lucida Grande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47822"/>
    <w:rPr>
      <w:rFonts w:ascii="Lucida Grande" w:hAnsi="Lucida Grande"/>
      <w:sz w:val="18"/>
      <w:szCs w:val="18"/>
    </w:rPr>
  </w:style>
  <w:style w:type="character" w:styleId="a9">
    <w:name w:val="page number"/>
    <w:uiPriority w:val="99"/>
    <w:semiHidden/>
    <w:unhideWhenUsed/>
    <w:rsid w:val="00BD50F6"/>
  </w:style>
  <w:style w:type="paragraph" w:styleId="aa">
    <w:name w:val="List Paragraph"/>
    <w:basedOn w:val="a"/>
    <w:uiPriority w:val="34"/>
    <w:qFormat/>
    <w:rsid w:val="00610DDA"/>
    <w:pPr>
      <w:widowControl w:val="0"/>
      <w:ind w:leftChars="200" w:left="480"/>
    </w:pPr>
    <w:rPr>
      <w:rFonts w:ascii="Calibri" w:eastAsia="新細明體" w:hAnsi="Calibri"/>
      <w:kern w:val="2"/>
      <w:szCs w:val="22"/>
      <w:lang w:eastAsia="zh-TW"/>
    </w:rPr>
  </w:style>
  <w:style w:type="character" w:styleId="ab">
    <w:name w:val="Strong"/>
    <w:uiPriority w:val="22"/>
    <w:qFormat/>
    <w:rsid w:val="005344FC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976A97"/>
    <w:pPr>
      <w:widowControl w:val="0"/>
      <w:snapToGrid w:val="0"/>
    </w:pPr>
    <w:rPr>
      <w:rFonts w:ascii="Calibri" w:eastAsia="新細明體" w:hAnsi="Calibri"/>
      <w:kern w:val="2"/>
      <w:sz w:val="20"/>
      <w:szCs w:val="20"/>
      <w:lang w:val="en-GB" w:eastAsia="zh-TW"/>
    </w:rPr>
  </w:style>
  <w:style w:type="character" w:customStyle="1" w:styleId="ad">
    <w:name w:val="註腳文字 字元"/>
    <w:link w:val="ac"/>
    <w:uiPriority w:val="99"/>
    <w:rsid w:val="00976A97"/>
    <w:rPr>
      <w:rFonts w:ascii="Calibri" w:eastAsia="新細明體" w:hAnsi="Calibri"/>
      <w:kern w:val="2"/>
      <w:lang w:val="en-GB"/>
    </w:rPr>
  </w:style>
  <w:style w:type="character" w:styleId="ae">
    <w:name w:val="footnote reference"/>
    <w:uiPriority w:val="99"/>
    <w:unhideWhenUsed/>
    <w:rsid w:val="00976A97"/>
    <w:rPr>
      <w:vertAlign w:val="superscript"/>
    </w:rPr>
  </w:style>
  <w:style w:type="character" w:styleId="af">
    <w:name w:val="Hyperlink"/>
    <w:uiPriority w:val="99"/>
    <w:unhideWhenUsed/>
    <w:rsid w:val="00976A97"/>
    <w:rPr>
      <w:color w:val="0000FF"/>
      <w:u w:val="single"/>
    </w:rPr>
  </w:style>
  <w:style w:type="paragraph" w:styleId="af0">
    <w:name w:val="No Spacing"/>
    <w:uiPriority w:val="1"/>
    <w:qFormat/>
    <w:rsid w:val="00C9334D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st">
    <w:name w:val="st"/>
    <w:rsid w:val="00D134F0"/>
  </w:style>
  <w:style w:type="table" w:styleId="af1">
    <w:name w:val="Table Grid"/>
    <w:basedOn w:val="a1"/>
    <w:uiPriority w:val="39"/>
    <w:rsid w:val="00AF6FBC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71"/>
    <w:rsid w:val="00DE7C02"/>
    <w:rPr>
      <w:sz w:val="24"/>
      <w:szCs w:val="24"/>
      <w:lang w:eastAsia="en-US"/>
    </w:rPr>
  </w:style>
  <w:style w:type="character" w:styleId="af3">
    <w:name w:val="annotation reference"/>
    <w:uiPriority w:val="99"/>
    <w:semiHidden/>
    <w:unhideWhenUsed/>
    <w:rsid w:val="00091C4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91C48"/>
  </w:style>
  <w:style w:type="character" w:customStyle="1" w:styleId="af5">
    <w:name w:val="註解文字 字元"/>
    <w:link w:val="af4"/>
    <w:uiPriority w:val="99"/>
    <w:semiHidden/>
    <w:rsid w:val="00091C48"/>
    <w:rPr>
      <w:sz w:val="24"/>
      <w:szCs w:val="24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91C48"/>
    <w:rPr>
      <w:b/>
      <w:bCs/>
    </w:rPr>
  </w:style>
  <w:style w:type="character" w:customStyle="1" w:styleId="af7">
    <w:name w:val="註解主旨 字元"/>
    <w:link w:val="af6"/>
    <w:uiPriority w:val="99"/>
    <w:semiHidden/>
    <w:rsid w:val="00091C48"/>
    <w:rPr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9D663C"/>
    <w:pPr>
      <w:spacing w:before="100" w:beforeAutospacing="1" w:after="100" w:afterAutospacing="1"/>
    </w:pPr>
    <w:rPr>
      <w:rFonts w:ascii="Times New Roman" w:eastAsia="Times New Roman" w:hAnsi="Times New Roman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22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47822"/>
  </w:style>
  <w:style w:type="paragraph" w:styleId="a5">
    <w:name w:val="footer"/>
    <w:basedOn w:val="a"/>
    <w:link w:val="a6"/>
    <w:uiPriority w:val="99"/>
    <w:unhideWhenUsed/>
    <w:rsid w:val="00147822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47822"/>
  </w:style>
  <w:style w:type="paragraph" w:styleId="a7">
    <w:name w:val="Balloon Text"/>
    <w:basedOn w:val="a"/>
    <w:link w:val="a8"/>
    <w:uiPriority w:val="99"/>
    <w:semiHidden/>
    <w:unhideWhenUsed/>
    <w:rsid w:val="00147822"/>
    <w:rPr>
      <w:rFonts w:ascii="Lucida Grande" w:hAnsi="Lucida Grande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47822"/>
    <w:rPr>
      <w:rFonts w:ascii="Lucida Grande" w:hAnsi="Lucida Grande"/>
      <w:sz w:val="18"/>
      <w:szCs w:val="18"/>
    </w:rPr>
  </w:style>
  <w:style w:type="character" w:styleId="a9">
    <w:name w:val="page number"/>
    <w:uiPriority w:val="99"/>
    <w:semiHidden/>
    <w:unhideWhenUsed/>
    <w:rsid w:val="00BD50F6"/>
  </w:style>
  <w:style w:type="paragraph" w:styleId="aa">
    <w:name w:val="List Paragraph"/>
    <w:basedOn w:val="a"/>
    <w:uiPriority w:val="34"/>
    <w:qFormat/>
    <w:rsid w:val="00610DDA"/>
    <w:pPr>
      <w:widowControl w:val="0"/>
      <w:ind w:leftChars="200" w:left="480"/>
    </w:pPr>
    <w:rPr>
      <w:rFonts w:ascii="Calibri" w:eastAsia="新細明體" w:hAnsi="Calibri"/>
      <w:kern w:val="2"/>
      <w:szCs w:val="22"/>
      <w:lang w:eastAsia="zh-TW"/>
    </w:rPr>
  </w:style>
  <w:style w:type="character" w:styleId="ab">
    <w:name w:val="Strong"/>
    <w:uiPriority w:val="22"/>
    <w:qFormat/>
    <w:rsid w:val="005344FC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976A97"/>
    <w:pPr>
      <w:widowControl w:val="0"/>
      <w:snapToGrid w:val="0"/>
    </w:pPr>
    <w:rPr>
      <w:rFonts w:ascii="Calibri" w:eastAsia="新細明體" w:hAnsi="Calibri"/>
      <w:kern w:val="2"/>
      <w:sz w:val="20"/>
      <w:szCs w:val="20"/>
      <w:lang w:val="en-GB" w:eastAsia="zh-TW"/>
    </w:rPr>
  </w:style>
  <w:style w:type="character" w:customStyle="1" w:styleId="ad">
    <w:name w:val="註腳文字 字元"/>
    <w:link w:val="ac"/>
    <w:uiPriority w:val="99"/>
    <w:rsid w:val="00976A97"/>
    <w:rPr>
      <w:rFonts w:ascii="Calibri" w:eastAsia="新細明體" w:hAnsi="Calibri"/>
      <w:kern w:val="2"/>
      <w:lang w:val="en-GB"/>
    </w:rPr>
  </w:style>
  <w:style w:type="character" w:styleId="ae">
    <w:name w:val="footnote reference"/>
    <w:uiPriority w:val="99"/>
    <w:unhideWhenUsed/>
    <w:rsid w:val="00976A97"/>
    <w:rPr>
      <w:vertAlign w:val="superscript"/>
    </w:rPr>
  </w:style>
  <w:style w:type="character" w:styleId="af">
    <w:name w:val="Hyperlink"/>
    <w:uiPriority w:val="99"/>
    <w:unhideWhenUsed/>
    <w:rsid w:val="00976A97"/>
    <w:rPr>
      <w:color w:val="0000FF"/>
      <w:u w:val="single"/>
    </w:rPr>
  </w:style>
  <w:style w:type="paragraph" w:styleId="af0">
    <w:name w:val="No Spacing"/>
    <w:uiPriority w:val="1"/>
    <w:qFormat/>
    <w:rsid w:val="00C9334D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customStyle="1" w:styleId="st">
    <w:name w:val="st"/>
    <w:rsid w:val="00D134F0"/>
  </w:style>
  <w:style w:type="table" w:styleId="af1">
    <w:name w:val="Table Grid"/>
    <w:basedOn w:val="a1"/>
    <w:uiPriority w:val="39"/>
    <w:rsid w:val="00AF6FBC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71"/>
    <w:rsid w:val="00DE7C02"/>
    <w:rPr>
      <w:sz w:val="24"/>
      <w:szCs w:val="24"/>
      <w:lang w:eastAsia="en-US"/>
    </w:rPr>
  </w:style>
  <w:style w:type="character" w:styleId="af3">
    <w:name w:val="annotation reference"/>
    <w:uiPriority w:val="99"/>
    <w:semiHidden/>
    <w:unhideWhenUsed/>
    <w:rsid w:val="00091C4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91C48"/>
  </w:style>
  <w:style w:type="character" w:customStyle="1" w:styleId="af5">
    <w:name w:val="註解文字 字元"/>
    <w:link w:val="af4"/>
    <w:uiPriority w:val="99"/>
    <w:semiHidden/>
    <w:rsid w:val="00091C48"/>
    <w:rPr>
      <w:sz w:val="24"/>
      <w:szCs w:val="24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91C48"/>
    <w:rPr>
      <w:b/>
      <w:bCs/>
    </w:rPr>
  </w:style>
  <w:style w:type="character" w:customStyle="1" w:styleId="af7">
    <w:name w:val="註解主旨 字元"/>
    <w:link w:val="af6"/>
    <w:uiPriority w:val="99"/>
    <w:semiHidden/>
    <w:rsid w:val="00091C48"/>
    <w:rPr>
      <w:b/>
      <w:bCs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9D663C"/>
    <w:pPr>
      <w:spacing w:before="100" w:beforeAutospacing="1" w:after="100" w:afterAutospacing="1"/>
    </w:pPr>
    <w:rPr>
      <w:rFonts w:ascii="Times New Roman" w:eastAsia="Times New Roman"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F76382-3FCA-4E1A-B60B-F778E14A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Savantas Policy Institute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Sik Li</dc:creator>
  <cp:lastModifiedBy>Jen Lau</cp:lastModifiedBy>
  <cp:revision>3</cp:revision>
  <cp:lastPrinted>2018-12-03T09:00:00Z</cp:lastPrinted>
  <dcterms:created xsi:type="dcterms:W3CDTF">2018-12-03T10:52:00Z</dcterms:created>
  <dcterms:modified xsi:type="dcterms:W3CDTF">2018-12-04T04:29:00Z</dcterms:modified>
</cp:coreProperties>
</file>